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b/>
          <w:bCs w:val="0"/>
          <w:color w:val="auto"/>
          <w:sz w:val="52"/>
          <w:szCs w:val="52"/>
          <w:u w:val="none"/>
          <w:lang w:eastAsia="zh-CN"/>
        </w:rPr>
      </w:pPr>
      <w:r>
        <w:rPr>
          <w:rFonts w:hint="eastAsia" w:ascii="仿宋" w:hAnsi="仿宋" w:eastAsia="仿宋" w:cs="仿宋"/>
          <w:b/>
          <w:bCs w:val="0"/>
          <w:color w:val="auto"/>
          <w:sz w:val="52"/>
          <w:szCs w:val="52"/>
          <w:u w:val="none"/>
          <w:lang w:eastAsia="zh-CN"/>
        </w:rPr>
        <w:t>课程大纲</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b/>
          <w:bCs w:val="0"/>
          <w:color w:val="auto"/>
          <w:sz w:val="52"/>
          <w:szCs w:val="52"/>
          <w:u w:val="none"/>
          <w:lang w:eastAsia="zh-CN"/>
        </w:rPr>
      </w:pP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b/>
          <w:bCs w:val="0"/>
          <w:color w:val="auto"/>
          <w:sz w:val="52"/>
          <w:szCs w:val="52"/>
          <w:u w:val="none"/>
          <w:lang w:eastAsia="zh-CN"/>
        </w:rPr>
      </w:pP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物业经理职业能力与知识技能</w:t>
      </w:r>
    </w:p>
    <w:p>
      <w:pPr>
        <w:pStyle w:val="5"/>
        <w:keepNext w:val="0"/>
        <w:keepLines w:val="0"/>
        <w:pageBreakBefore w:val="0"/>
        <w:numPr>
          <w:ilvl w:val="0"/>
          <w:numId w:val="0"/>
        </w:numPr>
        <w:kinsoku/>
        <w:wordWrap/>
        <w:overflowPunct/>
        <w:topLinePunct w:val="0"/>
        <w:bidi w:val="0"/>
        <w:adjustRightInd/>
        <w:snapToGrid/>
        <w:spacing w:line="480" w:lineRule="exact"/>
        <w:ind w:firstLine="321" w:firstLineChars="1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（一）职业能力</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 沟通能力</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 学习力</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 辨别力</w:t>
      </w:r>
    </w:p>
    <w:p>
      <w:pPr>
        <w:pStyle w:val="5"/>
        <w:keepNext w:val="0"/>
        <w:keepLines w:val="0"/>
        <w:pageBreakBefore w:val="0"/>
        <w:numPr>
          <w:ilvl w:val="0"/>
          <w:numId w:val="0"/>
        </w:numPr>
        <w:kinsoku/>
        <w:wordWrap/>
        <w:overflowPunct/>
        <w:topLinePunct w:val="0"/>
        <w:bidi w:val="0"/>
        <w:adjustRightInd/>
        <w:snapToGrid/>
        <w:spacing w:line="480" w:lineRule="exact"/>
        <w:ind w:firstLine="321" w:firstLineChars="1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（二）物业项目运营管理服务的三大维度</w:t>
      </w:r>
      <w:r>
        <w:rPr>
          <w:rFonts w:hint="eastAsia" w:ascii="仿宋" w:hAnsi="仿宋" w:eastAsia="仿宋" w:cs="仿宋"/>
          <w:sz w:val="32"/>
          <w:szCs w:val="32"/>
          <w:lang w:eastAsia="zh-CN"/>
        </w:rPr>
        <w:t xml:space="preserve"> </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时间维度：常规期、筹备期、早期</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空间维度：居住类项目、办公类项目、商业项目、工业项目、其他</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业务维度：管理、服务、经营、团队</w:t>
      </w:r>
    </w:p>
    <w:p>
      <w:pPr>
        <w:pStyle w:val="5"/>
        <w:keepNext w:val="0"/>
        <w:keepLines w:val="0"/>
        <w:pageBreakBefore w:val="0"/>
        <w:numPr>
          <w:ilvl w:val="0"/>
          <w:numId w:val="0"/>
        </w:numPr>
        <w:kinsoku/>
        <w:wordWrap/>
        <w:overflowPunct/>
        <w:topLinePunct w:val="0"/>
        <w:bidi w:val="0"/>
        <w:adjustRightInd/>
        <w:snapToGrid/>
        <w:spacing w:line="480" w:lineRule="exact"/>
        <w:ind w:firstLine="321" w:firstLineChars="1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（三）四大管理模块</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1.以“成本与预算”为核心的财务“计划”模块</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2.以“薪酬与绩效”为核心的人力资源“组织”模块</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3.以“标准化与人性化”为核心的“领导、协调、控制”模块</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4.以“升级服务成销售”为核心的“创新”模块</w:t>
      </w:r>
    </w:p>
    <w:p>
      <w:pPr>
        <w:pStyle w:val="5"/>
        <w:keepNext w:val="0"/>
        <w:keepLines w:val="0"/>
        <w:pageBreakBefore w:val="0"/>
        <w:numPr>
          <w:ilvl w:val="0"/>
          <w:numId w:val="0"/>
        </w:numPr>
        <w:kinsoku/>
        <w:wordWrap/>
        <w:overflowPunct/>
        <w:topLinePunct w:val="0"/>
        <w:bidi w:val="0"/>
        <w:adjustRightInd/>
        <w:snapToGrid/>
        <w:spacing w:line="480" w:lineRule="exact"/>
        <w:ind w:firstLine="321" w:firstLineChars="1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（四）五大专项能力</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项目获取能力：如编制方案标书、答辩谈判、测算预算、签约洽谈</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开发链条配合能力：如营销支持、承接查验、保修对接、老带新转化</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风险控制与应急处置能力：物业行业基层高流动率下的风控与应急机制与口号变能力的落地方法</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持续性品控能力：QPI、KPI等的确立固然重要，但持之以恒年复一年的持续贯彻更加重要</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阶段性工作能力与专项工作能力：如开办筹备、交房入伙、装修乔迁及客服、秩序、修缮保养、环境等</w:t>
      </w:r>
    </w:p>
    <w:p>
      <w:pPr>
        <w:pStyle w:val="5"/>
        <w:keepNext w:val="0"/>
        <w:keepLines w:val="0"/>
        <w:pageBreakBefore w:val="0"/>
        <w:numPr>
          <w:ilvl w:val="0"/>
          <w:numId w:val="0"/>
        </w:numPr>
        <w:kinsoku/>
        <w:wordWrap/>
        <w:overflowPunct/>
        <w:topLinePunct w:val="0"/>
        <w:bidi w:val="0"/>
        <w:adjustRightInd/>
        <w:snapToGrid/>
        <w:spacing w:line="480" w:lineRule="exact"/>
        <w:ind w:firstLine="321" w:firstLineChars="1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（五）六大技巧</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如何建立“有温度有粘度”的客服关系与收费技巧</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如何将投诉转变为满意度的沟通与处置技巧</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非工程专业经理人的房屋与设施设备管理技巧</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高标准高效监管环境、绿化等外包团队技巧</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减轻上线地产公司压力、树立保修期业主口碑等处置技巧</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执行力、工作效率等团队管理技巧</w:t>
      </w:r>
    </w:p>
    <w:p>
      <w:pPr>
        <w:pStyle w:val="5"/>
        <w:keepNext w:val="0"/>
        <w:keepLines w:val="0"/>
        <w:pageBreakBefore w:val="0"/>
        <w:numPr>
          <w:ilvl w:val="0"/>
          <w:numId w:val="0"/>
        </w:numPr>
        <w:kinsoku/>
        <w:wordWrap/>
        <w:overflowPunct/>
        <w:topLinePunct w:val="0"/>
        <w:bidi w:val="0"/>
        <w:adjustRightInd/>
        <w:snapToGrid/>
        <w:spacing w:line="480" w:lineRule="exact"/>
        <w:ind w:firstLine="321" w:firstLineChars="1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 网格化针对性能力解析</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常规期管理必备能力：收费、应诉、突发事件</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筹备期管理必备能力</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新老项目接管要点</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新项目：</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方案组织与实施技巧：“现状接管逐步验收”的无奈与注意事项</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接管前必备五大项查验与技巧</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保修责任、空置房费的经营风险与应对技巧</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二手项目：</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无竣工图指引下的必查项目</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承接查验协议与责任规避</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痕迹管理与管理效果彰显</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入住、交房核心能力：</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如何与开发商、不同类型项目的甲方共同编织交房入住方案</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真实案例讲解物业公司不同身份（第三方物业、关联企业）下的交房筹划</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业租户各方面水平提升后、与传统一站式手续办理截然不同的实操落地</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延期交房、商住混杂、铺位空置率高、交叉施工等恶劣情况下，不同业态项目交房入伙筹划的注意事项与案例分享</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交房入伙装修期经营筹划</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该阶段法律法规重点条款讲述、应用技巧、注意事项</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装修联动管理：</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装修各类收费拟定与法律法规重点条款讲述、应用技巧、注意事项</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不同业态项目（办公楼、商场）的装修管理要素与实操注意事项</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装修期管理、验收、保证金退还的风控与落地实操要点</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真实诉讼案例分享，强调装修管理的注意事项 。</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》基础：晨会</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》载体：装修统计表A4：序号 房号 办理装修时间、时间表、验收时间、违章备注</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》关键岗：客服、门岗、装修巡逻岗联动管理</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3" w:firstLineChars="200"/>
        <w:textAlignment w:val="auto"/>
        <w:rPr>
          <w:rFonts w:hint="eastAsia" w:ascii="仿宋" w:hAnsi="仿宋" w:eastAsia="仿宋" w:cs="仿宋"/>
          <w:b/>
          <w:bCs/>
          <w:sz w:val="32"/>
          <w:szCs w:val="32"/>
          <w:lang w:val="en-US" w:eastAsia="zh-CN"/>
        </w:rPr>
      </w:pP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经营思路与经营意识的建立</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对标介绍一线企业的项目经营：第二曲线</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多种经营的实操运用：居家养老与日间照料</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分配机制与绩效激励</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3" w:firstLineChars="200"/>
        <w:textAlignment w:val="auto"/>
        <w:rPr>
          <w:rFonts w:hint="eastAsia" w:ascii="仿宋" w:hAnsi="仿宋" w:eastAsia="仿宋" w:cs="仿宋"/>
          <w:b/>
          <w:bCs/>
          <w:sz w:val="32"/>
          <w:szCs w:val="32"/>
          <w:lang w:val="en-US" w:eastAsia="zh-CN"/>
        </w:rPr>
      </w:pP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基础法律法规的认知理解与服务中应用</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民法典浅析与风控的意识与能力</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业委会、居委会与各外联关系</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大服务体系：客户细分与背景调查--客户需求识别--服务关键接触面—抱怨管理与服务补救—满意度</w:t>
      </w:r>
    </w:p>
    <w:p>
      <w:pPr>
        <w:pStyle w:val="5"/>
        <w:keepNext w:val="0"/>
        <w:keepLines w:val="0"/>
        <w:pageBreakBefore w:val="0"/>
        <w:numPr>
          <w:ilvl w:val="0"/>
          <w:numId w:val="0"/>
        </w:numPr>
        <w:kinsoku/>
        <w:wordWrap/>
        <w:overflowPunct/>
        <w:topLinePunct w:val="0"/>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住宅室内装饰装修管理办法（110号令）精讲应用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高层民用建筑消防安全管理规定与安全生产</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pacing w:val="-6"/>
          <w:w w:val="95"/>
          <w:sz w:val="28"/>
          <w:szCs w:val="28"/>
          <w:lang w:val="en-US" w:eastAsia="zh-CN" w:bidi="zh-CN"/>
        </w:rPr>
      </w:pPr>
      <w:bookmarkStart w:id="0" w:name="_GoBack"/>
      <w:r>
        <w:rPr>
          <w:rFonts w:hint="eastAsia" w:ascii="宋体" w:hAnsi="宋体" w:eastAsia="宋体" w:cs="宋体"/>
          <w:b/>
          <w:bCs/>
          <w:color w:val="auto"/>
          <w:spacing w:val="6"/>
          <w:w w:val="100"/>
          <w:kern w:val="0"/>
          <w:sz w:val="44"/>
          <w:szCs w:val="44"/>
          <w:fitText w:val="2702" w:id="584786983"/>
          <w:lang w:val="en-US" w:eastAsia="zh-CN" w:bidi="zh-CN"/>
        </w:rPr>
        <w:t>课程报名回</w:t>
      </w:r>
      <w:r>
        <w:rPr>
          <w:rFonts w:hint="eastAsia" w:ascii="宋体" w:hAnsi="宋体" w:eastAsia="宋体" w:cs="宋体"/>
          <w:b/>
          <w:bCs/>
          <w:color w:val="auto"/>
          <w:spacing w:val="1"/>
          <w:w w:val="100"/>
          <w:kern w:val="0"/>
          <w:sz w:val="44"/>
          <w:szCs w:val="44"/>
          <w:fitText w:val="2702" w:id="584786983"/>
          <w:lang w:val="en-US" w:eastAsia="zh-CN" w:bidi="zh-CN"/>
        </w:rPr>
        <w:t>执</w:t>
      </w:r>
      <w:bookmarkEnd w:id="0"/>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企业名称：</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联系人：</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联系电话：</w:t>
      </w:r>
    </w:p>
    <w:tbl>
      <w:tblPr>
        <w:tblStyle w:val="2"/>
        <w:tblpPr w:leftFromText="180" w:rightFromText="180" w:vertAnchor="text" w:horzAnchor="page" w:tblpX="1602" w:tblpY="23"/>
        <w:tblOverlap w:val="never"/>
        <w:tblW w:w="90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26"/>
        <w:gridCol w:w="1522"/>
        <w:gridCol w:w="75"/>
        <w:gridCol w:w="3270"/>
        <w:gridCol w:w="2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序号</w:t>
            </w:r>
          </w:p>
        </w:tc>
        <w:tc>
          <w:tcPr>
            <w:tcW w:w="1597" w:type="dxa"/>
            <w:gridSpan w:val="2"/>
            <w:noWrap w:val="0"/>
            <w:vAlign w:val="center"/>
          </w:tcPr>
          <w:p>
            <w:pPr>
              <w:spacing w:line="4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姓名</w:t>
            </w:r>
          </w:p>
        </w:tc>
        <w:tc>
          <w:tcPr>
            <w:tcW w:w="3270" w:type="dxa"/>
            <w:noWrap w:val="0"/>
            <w:vAlign w:val="center"/>
          </w:tcPr>
          <w:p>
            <w:pPr>
              <w:spacing w:line="400" w:lineRule="exact"/>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身份证号码</w:t>
            </w:r>
          </w:p>
        </w:tc>
        <w:tc>
          <w:tcPr>
            <w:tcW w:w="2722" w:type="dxa"/>
            <w:noWrap w:val="0"/>
            <w:vAlign w:val="center"/>
          </w:tcPr>
          <w:p>
            <w:pPr>
              <w:spacing w:line="4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 xml:space="preserve"> </w:t>
            </w: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 xml:space="preserve"> </w:t>
            </w: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2</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3</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sz w:val="28"/>
                <w:szCs w:val="28"/>
              </w:rPr>
              <w:t>4</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sz w:val="28"/>
                <w:szCs w:val="28"/>
                <w:lang w:val="en-US" w:eastAsia="zh-CN"/>
              </w:rPr>
              <w:t>5</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sz w:val="28"/>
                <w:szCs w:val="28"/>
                <w:lang w:val="en-US" w:eastAsia="zh-CN"/>
              </w:rPr>
              <w:t>6</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sz w:val="28"/>
                <w:szCs w:val="28"/>
                <w:lang w:val="en-US" w:eastAsia="zh-CN"/>
              </w:rPr>
              <w:t>7</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 xml:space="preserve"> </w:t>
            </w: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 xml:space="preserve"> </w:t>
            </w: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sz w:val="28"/>
                <w:szCs w:val="28"/>
                <w:lang w:val="en-US" w:eastAsia="zh-CN"/>
              </w:rPr>
              <w:t>8</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 xml:space="preserve"> </w:t>
            </w: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 xml:space="preserve"> </w:t>
            </w: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sz w:val="28"/>
                <w:szCs w:val="28"/>
                <w:lang w:val="en-US" w:eastAsia="zh-CN"/>
              </w:rPr>
              <w:t>9</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 xml:space="preserve"> </w:t>
            </w: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 xml:space="preserve"> </w:t>
            </w: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sz w:val="28"/>
                <w:szCs w:val="28"/>
                <w:lang w:val="en-US" w:eastAsia="zh-CN"/>
              </w:rPr>
              <w:t>10</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11</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12</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13</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14</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26" w:type="dxa"/>
            <w:noWrap w:val="0"/>
            <w:vAlign w:val="center"/>
          </w:tcPr>
          <w:p>
            <w:pPr>
              <w:spacing w:line="400" w:lineRule="exact"/>
              <w:jc w:val="center"/>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15</w:t>
            </w:r>
          </w:p>
        </w:tc>
        <w:tc>
          <w:tcPr>
            <w:tcW w:w="1597" w:type="dxa"/>
            <w:gridSpan w:val="2"/>
            <w:noWrap w:val="0"/>
            <w:vAlign w:val="top"/>
          </w:tcPr>
          <w:p>
            <w:pPr>
              <w:spacing w:line="400" w:lineRule="exact"/>
              <w:ind w:firstLine="560" w:firstLineChars="200"/>
              <w:jc w:val="left"/>
              <w:rPr>
                <w:rFonts w:hint="eastAsia" w:ascii="宋体" w:hAnsi="宋体" w:eastAsia="宋体" w:cs="宋体"/>
                <w:bCs/>
                <w:color w:val="000000"/>
                <w:sz w:val="28"/>
                <w:szCs w:val="28"/>
              </w:rPr>
            </w:pPr>
          </w:p>
        </w:tc>
        <w:tc>
          <w:tcPr>
            <w:tcW w:w="3270" w:type="dxa"/>
            <w:noWrap w:val="0"/>
            <w:vAlign w:val="top"/>
          </w:tcPr>
          <w:p>
            <w:pPr>
              <w:spacing w:line="400" w:lineRule="exact"/>
              <w:ind w:firstLine="560" w:firstLineChars="200"/>
              <w:jc w:val="left"/>
              <w:rPr>
                <w:rFonts w:hint="eastAsia" w:ascii="宋体" w:hAnsi="宋体" w:eastAsia="宋体" w:cs="宋体"/>
                <w:bCs/>
                <w:color w:val="000000"/>
                <w:sz w:val="28"/>
                <w:szCs w:val="28"/>
              </w:rPr>
            </w:pPr>
          </w:p>
        </w:tc>
        <w:tc>
          <w:tcPr>
            <w:tcW w:w="2722" w:type="dxa"/>
            <w:noWrap w:val="0"/>
            <w:vAlign w:val="top"/>
          </w:tcPr>
          <w:p>
            <w:pPr>
              <w:spacing w:line="400" w:lineRule="exact"/>
              <w:ind w:firstLine="560" w:firstLineChars="200"/>
              <w:jc w:val="left"/>
              <w:rPr>
                <w:rFonts w:hint="eastAsia" w:ascii="宋体" w:hAnsi="宋体" w:eastAsia="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9015" w:type="dxa"/>
            <w:gridSpan w:val="5"/>
            <w:noWrap w:val="0"/>
            <w:vAlign w:val="center"/>
          </w:tcPr>
          <w:p>
            <w:pPr>
              <w:spacing w:line="4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开票信息（电子增值税普通发票）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948" w:type="dxa"/>
            <w:gridSpan w:val="2"/>
            <w:noWrap w:val="0"/>
            <w:vAlign w:val="center"/>
          </w:tcPr>
          <w:p>
            <w:pPr>
              <w:spacing w:line="400" w:lineRule="exact"/>
              <w:jc w:val="center"/>
              <w:rPr>
                <w:rFonts w:hint="eastAsia" w:ascii="宋体" w:hAnsi="宋体" w:eastAsia="宋体" w:cs="宋体"/>
                <w:bCs/>
                <w:color w:val="000000"/>
                <w:sz w:val="28"/>
                <w:szCs w:val="28"/>
                <w:lang w:val="en-US" w:eastAsia="zh-CN"/>
              </w:rPr>
            </w:pPr>
            <w:r>
              <w:rPr>
                <w:rFonts w:hint="eastAsia" w:ascii="宋体" w:hAnsi="宋体" w:eastAsia="宋体" w:cs="宋体"/>
                <w:color w:val="000000"/>
                <w:sz w:val="28"/>
                <w:szCs w:val="28"/>
              </w:rPr>
              <w:t>单位名称</w:t>
            </w:r>
          </w:p>
        </w:tc>
        <w:tc>
          <w:tcPr>
            <w:tcW w:w="6067" w:type="dxa"/>
            <w:gridSpan w:val="3"/>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948" w:type="dxa"/>
            <w:gridSpan w:val="2"/>
            <w:noWrap w:val="0"/>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纳税人识别号</w:t>
            </w:r>
          </w:p>
        </w:tc>
        <w:tc>
          <w:tcPr>
            <w:tcW w:w="6067" w:type="dxa"/>
            <w:gridSpan w:val="3"/>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948" w:type="dxa"/>
            <w:gridSpan w:val="2"/>
            <w:noWrap w:val="0"/>
            <w:vAlign w:val="center"/>
          </w:tcPr>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电子邮箱</w:t>
            </w:r>
          </w:p>
        </w:tc>
        <w:tc>
          <w:tcPr>
            <w:tcW w:w="6067" w:type="dxa"/>
            <w:gridSpan w:val="3"/>
            <w:noWrap w:val="0"/>
            <w:vAlign w:val="top"/>
          </w:tcPr>
          <w:p>
            <w:pPr>
              <w:spacing w:line="400" w:lineRule="exact"/>
              <w:ind w:firstLine="560" w:firstLineChars="200"/>
              <w:jc w:val="left"/>
              <w:rPr>
                <w:rFonts w:hint="eastAsia" w:ascii="宋体" w:hAnsi="宋体" w:eastAsia="宋体" w:cs="宋体"/>
                <w:bCs/>
                <w:color w:val="000000"/>
                <w:sz w:val="28"/>
                <w:szCs w:val="28"/>
                <w:lang w:val="en-US" w:eastAsia="zh-CN"/>
              </w:rPr>
            </w:pPr>
            <w:r>
              <w:rPr>
                <w:rFonts w:hint="eastAsia" w:ascii="宋体" w:hAnsi="宋体" w:eastAsia="宋体" w:cs="宋体"/>
                <w:b w:val="0"/>
                <w:bCs/>
                <w:color w:val="FF0000"/>
                <w:sz w:val="28"/>
                <w:szCs w:val="28"/>
                <w:lang w:val="en-US" w:eastAsia="zh-CN"/>
              </w:rPr>
              <w:t>必填，用于接收电子发票</w:t>
            </w:r>
          </w:p>
        </w:tc>
      </w:tr>
    </w:tbl>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cs="宋体"/>
          <w:color w:val="000000"/>
          <w:kern w:val="0"/>
          <w:sz w:val="24"/>
          <w:szCs w:val="24"/>
          <w:lang w:val="en-US" w:eastAsia="zh-CN" w:bidi="ar"/>
        </w:rPr>
      </w:pPr>
      <w:r>
        <w:rPr>
          <w:rFonts w:hint="eastAsia" w:ascii="宋体" w:hAnsi="宋体" w:eastAsia="宋体" w:cs="宋体"/>
          <w:sz w:val="28"/>
          <w:szCs w:val="28"/>
          <w:lang w:val="en-US" w:eastAsia="zh-CN"/>
        </w:rPr>
        <w:t xml:space="preserve">  </w:t>
      </w:r>
      <w:r>
        <w:rPr>
          <w:rFonts w:hint="eastAsia" w:cs="宋体"/>
          <w:color w:val="000000"/>
          <w:kern w:val="0"/>
          <w:sz w:val="24"/>
          <w:szCs w:val="24"/>
          <w:lang w:val="en-US" w:eastAsia="zh-CN" w:bidi="ar"/>
        </w:rPr>
        <w:t>备注：电子报名表发送至会务老师邮箱：</w:t>
      </w:r>
      <w:r>
        <w:rPr>
          <w:rFonts w:hint="eastAsia" w:cs="宋体"/>
          <w:color w:val="000000"/>
          <w:kern w:val="0"/>
          <w:sz w:val="24"/>
          <w:szCs w:val="24"/>
          <w:lang w:val="en-US" w:eastAsia="zh-CN" w:bidi="ar"/>
        </w:rPr>
        <w:fldChar w:fldCharType="begin"/>
      </w:r>
      <w:r>
        <w:rPr>
          <w:rFonts w:hint="eastAsia" w:cs="宋体"/>
          <w:color w:val="000000"/>
          <w:kern w:val="0"/>
          <w:sz w:val="24"/>
          <w:szCs w:val="24"/>
          <w:lang w:val="en-US" w:eastAsia="zh-CN" w:bidi="ar"/>
        </w:rPr>
        <w:instrText xml:space="preserve"> HYPERLINK "mailto:592417448@qq.com" </w:instrText>
      </w:r>
      <w:r>
        <w:rPr>
          <w:rFonts w:hint="eastAsia" w:cs="宋体"/>
          <w:color w:val="000000"/>
          <w:kern w:val="0"/>
          <w:sz w:val="24"/>
          <w:szCs w:val="24"/>
          <w:lang w:val="en-US" w:eastAsia="zh-CN" w:bidi="ar"/>
        </w:rPr>
        <w:fldChar w:fldCharType="separate"/>
      </w:r>
      <w:r>
        <w:rPr>
          <w:rStyle w:val="4"/>
          <w:rFonts w:hint="eastAsia" w:cs="宋体"/>
          <w:kern w:val="0"/>
          <w:sz w:val="24"/>
          <w:szCs w:val="24"/>
          <w:lang w:val="en-US" w:eastAsia="zh-CN" w:bidi="ar"/>
        </w:rPr>
        <w:t>592417448@qq.com</w:t>
      </w:r>
      <w:r>
        <w:rPr>
          <w:rFonts w:hint="eastAsia" w:cs="宋体"/>
          <w:color w:val="000000"/>
          <w:kern w:val="0"/>
          <w:sz w:val="24"/>
          <w:szCs w:val="24"/>
          <w:lang w:val="en-US" w:eastAsia="zh-CN" w:bidi="ar"/>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宋体" w:hAnsi="宋体" w:eastAsia="宋体" w:cs="宋体"/>
          <w:sz w:val="28"/>
          <w:szCs w:val="28"/>
          <w:lang w:val="en-US" w:eastAsia="zh-CN"/>
        </w:rPr>
      </w:pPr>
      <w:r>
        <w:rPr>
          <w:rFonts w:hint="eastAsia" w:cs="宋体"/>
          <w:color w:val="000000"/>
          <w:kern w:val="0"/>
          <w:sz w:val="24"/>
          <w:szCs w:val="24"/>
          <w:lang w:val="en-US" w:eastAsia="zh-CN" w:bidi="ar"/>
        </w:rPr>
        <w:t>咨询电话：13671171754刘扬老师</w:t>
      </w:r>
    </w:p>
    <w:p/>
    <w:sectPr>
      <w:pgSz w:w="11906" w:h="16838"/>
      <w:pgMar w:top="1440" w:right="1293" w:bottom="1327"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NGViOGMyZGQyYTRkNjkwNTgzM2M2NGFjMjJiZDIifQ=="/>
  </w:docVars>
  <w:rsids>
    <w:rsidRoot w:val="2D77173A"/>
    <w:rsid w:val="2D77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2023-10-17T04:32:00Z</dcterms:created>
  <dc:creator>Administrator</dc:creator>
  <cp:lastModifiedBy>Administrator</cp:lastModifiedBy>
  <dcterms:modified xsi:type="dcterms:W3CDTF">2023-10-17T04:50:47Z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D2113BF5FC364DEBB7F24EB8F7D5861B_11</vt:lpwstr>
  </property>
</Properties>
</file>