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ind w:left="0" w:right="0"/>
        <w:jc w:val="center"/>
        <w:rPr>
          <w:rFonts w:hint="eastAsia" w:ascii="微软雅黑" w:hAnsi="微软雅黑" w:eastAsia="微软雅黑" w:cs="微软雅黑"/>
          <w:i w:val="0"/>
          <w:iCs w:val="0"/>
          <w:caps w:val="0"/>
          <w:spacing w:val="20"/>
          <w:sz w:val="16"/>
          <w:szCs w:val="16"/>
          <w:shd w:val="clear" w:fill="FFFFFF"/>
        </w:rPr>
      </w:pPr>
      <w:r>
        <w:rPr>
          <w:rStyle w:val="8"/>
          <w:rFonts w:ascii="微软雅黑" w:hAnsi="微软雅黑" w:eastAsia="微软雅黑" w:cs="微软雅黑"/>
          <w:i w:val="0"/>
          <w:iCs w:val="0"/>
          <w:caps w:val="0"/>
          <w:color w:val="021EAA"/>
          <w:spacing w:val="20"/>
          <w:sz w:val="17"/>
          <w:szCs w:val="17"/>
          <w:shd w:val="clear" w:fill="FFFFFF"/>
        </w:rPr>
        <w:t>人民共和国应急管理部令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ind w:left="0" w:right="0"/>
        <w:jc w:val="center"/>
      </w:pPr>
      <w:r>
        <w:rPr>
          <w:rFonts w:hint="eastAsia" w:ascii="微软雅黑" w:hAnsi="微软雅黑" w:eastAsia="微软雅黑" w:cs="微软雅黑"/>
          <w:i w:val="0"/>
          <w:iCs w:val="0"/>
          <w:caps w:val="0"/>
          <w:spacing w:val="20"/>
          <w:sz w:val="16"/>
          <w:szCs w:val="16"/>
          <w:shd w:val="clear" w:fill="FFFFFF"/>
        </w:rPr>
        <w:t>第14号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3"/>
        <w:jc w:val="both"/>
      </w:pPr>
      <w:r>
        <w:rPr>
          <w:rFonts w:hint="eastAsia" w:ascii="微软雅黑" w:hAnsi="微软雅黑" w:eastAsia="微软雅黑" w:cs="微软雅黑"/>
          <w:i w:val="0"/>
          <w:iCs w:val="0"/>
          <w:caps w:val="0"/>
          <w:spacing w:val="20"/>
          <w:sz w:val="16"/>
          <w:szCs w:val="16"/>
          <w:shd w:val="clear" w:fill="FFFFFF"/>
        </w:rPr>
        <w:t>《生产安全事故罚款处罚规定》已经2023年12月</w:t>
      </w:r>
      <w:bookmarkStart w:id="0" w:name="_GoBack"/>
      <w:bookmarkEnd w:id="0"/>
      <w:r>
        <w:rPr>
          <w:rFonts w:hint="eastAsia" w:ascii="微软雅黑" w:hAnsi="微软雅黑" w:eastAsia="微软雅黑" w:cs="微软雅黑"/>
          <w:i w:val="0"/>
          <w:iCs w:val="0"/>
          <w:caps w:val="0"/>
          <w:spacing w:val="20"/>
          <w:sz w:val="16"/>
          <w:szCs w:val="16"/>
          <w:shd w:val="clear" w:fill="FFFFFF"/>
        </w:rPr>
        <w:t>25日应急管理部第32次部务会议审议通过，现予公布，自2024年3月1日起施行。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hint="eastAsia" w:ascii="微软雅黑" w:hAnsi="微软雅黑" w:eastAsia="微软雅黑" w:cs="微软雅黑"/>
          <w:i w:val="0"/>
          <w:iCs w:val="0"/>
          <w:caps w:val="0"/>
          <w:spacing w:val="20"/>
          <w:sz w:val="16"/>
          <w:szCs w:val="16"/>
          <w:shd w:val="clear" w:fill="FFFFFF"/>
          <w:lang w:val="en-US" w:eastAsia="zh-CN"/>
        </w:rPr>
        <w:t xml:space="preserve">                                                       </w:t>
      </w:r>
      <w:r>
        <w:rPr>
          <w:rFonts w:hint="eastAsia" w:ascii="微软雅黑" w:hAnsi="微软雅黑" w:eastAsia="微软雅黑" w:cs="微软雅黑"/>
          <w:i w:val="0"/>
          <w:iCs w:val="0"/>
          <w:caps w:val="0"/>
          <w:spacing w:val="20"/>
          <w:sz w:val="16"/>
          <w:szCs w:val="16"/>
          <w:shd w:val="clear" w:fill="FFFFFF"/>
        </w:rPr>
        <w:t>部长 王祥喜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right"/>
      </w:pPr>
      <w:r>
        <w:rPr>
          <w:rFonts w:hint="eastAsia" w:ascii="微软雅黑" w:hAnsi="微软雅黑" w:eastAsia="微软雅黑" w:cs="微软雅黑"/>
          <w:i w:val="0"/>
          <w:iCs w:val="0"/>
          <w:caps w:val="0"/>
          <w:spacing w:val="20"/>
          <w:sz w:val="16"/>
          <w:szCs w:val="16"/>
          <w:shd w:val="clear" w:fill="FFFFFF"/>
        </w:rPr>
        <w:t>2024年1月10日</w:t>
      </w:r>
    </w:p>
    <w:p>
      <w:pPr>
        <w:keepNext w:val="0"/>
        <w:keepLines w:val="0"/>
        <w:widowControl/>
        <w:suppressLineNumbers w:val="0"/>
        <w:spacing w:before="0" w:beforeAutospacing="0" w:after="0" w:afterAutospacing="0"/>
        <w:ind w:left="0" w:right="0"/>
        <w:jc w:val="center"/>
        <w:rPr>
          <w:rStyle w:val="8"/>
          <w:rFonts w:hint="eastAsia" w:ascii="微软雅黑" w:hAnsi="微软雅黑" w:eastAsia="微软雅黑" w:cs="微软雅黑"/>
          <w:i w:val="0"/>
          <w:iCs w:val="0"/>
          <w:caps w:val="0"/>
          <w:color w:val="021EAA"/>
          <w:spacing w:val="20"/>
          <w:kern w:val="0"/>
          <w:sz w:val="44"/>
          <w:szCs w:val="44"/>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44"/>
          <w:szCs w:val="44"/>
          <w:shd w:val="clear" w:fill="FFFFFF"/>
          <w:lang w:val="en-US" w:eastAsia="zh-CN" w:bidi="ar"/>
        </w:rPr>
        <w:t>生产安全事故罚款处罚规定</w:t>
      </w:r>
    </w:p>
    <w:p>
      <w:pPr>
        <w:keepNext w:val="0"/>
        <w:keepLines w:val="0"/>
        <w:widowControl/>
        <w:suppressLineNumbers w:val="0"/>
        <w:spacing w:before="0" w:beforeAutospacing="0" w:after="0" w:afterAutospacing="0"/>
        <w:ind w:left="0" w:right="0"/>
        <w:jc w:val="center"/>
        <w:rPr>
          <w:rStyle w:val="8"/>
          <w:rFonts w:hint="eastAsia" w:ascii="微软雅黑" w:hAnsi="微软雅黑" w:eastAsia="微软雅黑" w:cs="微软雅黑"/>
          <w:i w:val="0"/>
          <w:iCs w:val="0"/>
          <w:caps w:val="0"/>
          <w:color w:val="021EAA"/>
          <w:spacing w:val="20"/>
          <w:kern w:val="0"/>
          <w:sz w:val="24"/>
          <w:szCs w:val="24"/>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0" w:beforeAutospacing="0" w:after="240" w:afterAutospacing="0" w:line="420" w:lineRule="atLeast"/>
        <w:ind w:left="0" w:right="0" w:firstLine="420"/>
        <w:jc w:val="both"/>
      </w:pPr>
      <w:r>
        <w:rPr>
          <w:rStyle w:val="8"/>
          <w:rFonts w:hint="eastAsia" w:ascii="微软雅黑" w:hAnsi="微软雅黑" w:eastAsia="微软雅黑" w:cs="微软雅黑"/>
          <w:i w:val="0"/>
          <w:iCs w:val="0"/>
          <w:caps w:val="0"/>
          <w:color w:val="021EAA"/>
          <w:spacing w:val="20"/>
          <w:sz w:val="16"/>
          <w:szCs w:val="16"/>
          <w:shd w:val="clear" w:fill="FFFFFF"/>
        </w:rPr>
        <w:t>第一条</w:t>
      </w:r>
      <w:r>
        <w:rPr>
          <w:rFonts w:hint="eastAsia" w:ascii="Microsoft YaHei UI" w:hAnsi="Microsoft YaHei UI" w:eastAsia="Microsoft YaHei UI" w:cs="Microsoft YaHei UI"/>
          <w:i w:val="0"/>
          <w:iCs w:val="0"/>
          <w:caps w:val="0"/>
          <w:spacing w:val="5"/>
          <w:shd w:val="clear" w:fill="FFFFFF"/>
        </w:rPr>
        <w:t>  </w:t>
      </w:r>
      <w:r>
        <w:rPr>
          <w:rFonts w:hint="eastAsia" w:ascii="微软雅黑" w:hAnsi="微软雅黑" w:eastAsia="微软雅黑" w:cs="微软雅黑"/>
          <w:i w:val="0"/>
          <w:iCs w:val="0"/>
          <w:caps w:val="0"/>
          <w:color w:val="333333"/>
          <w:spacing w:val="20"/>
          <w:sz w:val="16"/>
          <w:szCs w:val="16"/>
          <w:shd w:val="clear" w:fill="FFFFFF"/>
        </w:rPr>
        <w:t>为防止和减少生产安全事故，严格追究生产安全事故发生单位及其有关责任人员的法律责任，正确适用事故罚款的行政处罚，依照《中华人民共和国行政处罚法》《中华人民共和国安全生产法》《生产安全事故报告和调查处理条例》等规定，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0" w:beforeAutospacing="0" w:after="240" w:afterAutospacing="0" w:line="420" w:lineRule="atLeast"/>
        <w:ind w:left="0" w:right="0" w:firstLine="420"/>
        <w:jc w:val="both"/>
      </w:pPr>
      <w:r>
        <w:rPr>
          <w:rStyle w:val="8"/>
          <w:rFonts w:hint="eastAsia" w:ascii="微软雅黑" w:hAnsi="微软雅黑" w:eastAsia="微软雅黑" w:cs="微软雅黑"/>
          <w:i w:val="0"/>
          <w:iCs w:val="0"/>
          <w:caps w:val="0"/>
          <w:color w:val="021EAA"/>
          <w:spacing w:val="20"/>
          <w:sz w:val="16"/>
          <w:szCs w:val="16"/>
          <w:shd w:val="clear" w:fill="FFFFFF"/>
        </w:rPr>
        <w:t>第二条</w:t>
      </w:r>
      <w:r>
        <w:rPr>
          <w:rFonts w:hint="eastAsia" w:ascii="Microsoft YaHei UI" w:hAnsi="Microsoft YaHei UI" w:eastAsia="Microsoft YaHei UI" w:cs="Microsoft YaHei UI"/>
          <w:i w:val="0"/>
          <w:iCs w:val="0"/>
          <w:caps w:val="0"/>
          <w:spacing w:val="5"/>
          <w:shd w:val="clear" w:fill="FFFFFF"/>
        </w:rPr>
        <w:t>  </w:t>
      </w:r>
      <w:r>
        <w:rPr>
          <w:rFonts w:hint="eastAsia" w:ascii="微软雅黑" w:hAnsi="微软雅黑" w:eastAsia="微软雅黑" w:cs="微软雅黑"/>
          <w:i w:val="0"/>
          <w:iCs w:val="0"/>
          <w:caps w:val="0"/>
          <w:color w:val="333333"/>
          <w:spacing w:val="20"/>
          <w:sz w:val="16"/>
          <w:szCs w:val="16"/>
          <w:shd w:val="clear" w:fill="FFFFFF"/>
        </w:rPr>
        <w:t>应急管理部门和矿山安全监察机构对生产安全事故发生单位（以下简称事故发生单位）及其主要负责人、其他负责人、安全生产管理人员以及直接负责的主管人员、其他直接责任人员等有关责任人员依照《中华人民共和国安全生产法》和《生产安全事故报告和调查处理条例》实施罚款的行政处罚，适用本规定。</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第三条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本规定所称事故发生单位是指对事故发生负有责任的生产经营单位。本规定所称主要负责人是指有限责任公司、股份有限公司的董事长、总经理或者个人经营的投资人，其他生产经营单位的厂长、经理、矿长（含实际控制人）等人员。</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第四条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本规定所称事故发生单位主要负责人、其他负责人、安全生产管理人员以及直接负责的主管人员、其他直接责任人员的上一年年收入，属于国有生产经营单位的，是指该单位上级主管部门所确定的上一年年收入总额；属于非国有生产经营单位的，是指经财务、税务部门核定的上一年年收入总额。生产经营单位提供虚假资料或者由于财务、税务部门无法核定等原因致使有关人员的上一年年收入难以确定的，按照下列办法确定：（一）主要负责人的上一年年收入，按照本省、自治区、直辖市上一年度城镇单位就业人员平均工资的5倍以上10倍以下计算；（二）其他负责人、安全生产管理人员以及直接负责的主管人员、其他直接责任人员的上一年年收入，按照本省、自治区、直辖市上一年度城镇单位就业人员平均工资的1倍以上5倍以下计算。</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第五条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生产安全事故报告和调查处理条例》所称的迟报、漏报、谎报和瞒报，依照下列情形认定：（一）报告事故的时间超过规定时限的，属于迟报；（二）因过失对应当上报的事故或者事故发生的时间、地点、类别、伤亡人数、直接经济损失等内容遗漏未报的，属于漏报；（三）故意不如实报告事故发生的时间、地点、初步原因、性质、伤亡人数和涉险人数、直接经济损失等有关内容的，属于谎报；（四）隐瞒已经发生的事故，超过规定时限未向应急管理部门、矿山安全监察机构和有关部门报告，经查证属实的，属于瞒报。</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第六条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对事故发生单位及其有关责任人员处以罚款的行政处罚，依照下列规定决定：（一）对发生特别重大事故的单位及其有关责任人员罚款的行政处罚，由应急管理部决定；（二）对发生重大事故的单位及其有关责任人员罚款的行政处罚，由省级人民政府应急管理部门决定；（三）对发生较大事故的单位及其有关责任人员罚款的行政处罚，由设区的市级人民政府应急管理部门决定；（四）对发生一般事故的单位及其有关责任人员罚款的行政处罚，由县级人民政府应急管理部门决定。上级应急管理部门可以指定下一级应急管理部门对事故发生单位及其有关责任人员实施行政处罚。</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第七条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对煤矿事故发生单位及其有关责任人员处以罚款的行政处罚，依照下列规定执行：（一）对发生特别重大事故的煤矿及其有关责任人员罚款的行政处罚，由国家矿山安全监察局决定；（二）对发生重大事故、较大事故和一般事故的煤矿及其有关责任人员罚款的行政处罚，由国家矿山安全监察局省级局决定。上级矿山安全监察机构可以指定下一级矿山安全监察机构对事故发生单位及其有关责任人员实施行政处罚。</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第八条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特别重大事故以下等级事故，事故发生地与事故发生单位所在地不在同一个县级以上行政区域的，由事故发生地的应急管理部门或者矿山安全监察机构依照本规定第六条或者第七条规定的权限实施行政处罚。</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第九条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应急管理部门和矿山安全监察机构对事故发生单位及其有关责任人员实施罚款的行政处罚，依照《中华人民共和国行政处罚法》《安全生产违法行为行政处罚办法》等规定的程序执行。</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应急管理部门和矿山安全监察机构在作出行政处罚前，应当告知当事人依法享有的陈述、申辩、要求听证等权利；当事人对行政处罚不服的，有权依法申请行政复议或者提起行政诉讼。</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第十一条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主要负责人有《中华人民共和国安全生产法》第一百一十条、《生产安全事故报告和调查处理条例》第三十五条、第三十六条规定的下列行为之一的，依照下列规定处以罚款：（一）事故发生单位主要负责人在事故发生后不立即组织事故抢救，或者在事故调查处理期间擅离职守，或者瞒报、谎报、迟报事故，或者事故发生后逃匿的，处上一年年收入60%至80％的罚款；贻误事故抢救或者造成事故扩大或者影响事故调查或者造成重大社会影响的，处上一年年收入80%至100％的罚款；（二）事故发生单位主要负责人漏报事故的，处上一年年收入40%至60％的罚款；贻误事故抢救或者造成事故扩大或者影响事故调查或者造成重大社会影响的，处上一年年收入60%至80％的罚款；（三）事故发生单位主要负责人伪造、故意破坏事故现场，或者转移、隐匿资金、财产、销毁有关证据、资料，或者拒绝接受调查，或者拒绝提供有关情况和资料，或者在事故调查中作伪证，或者指使他人作伪证的，处上一年年收入60%至80％的罚款；贻误事故抢救或者造成事故扩大或者影响事故调查或者造成重大社会影响的，处上一年年收入80%至100％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第十二条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直接负责的主管人员和其他直接责任人员有《生产安全事故报告和调查处理条例》第三十六条规定的行为之一的，处上一年年收入60%至80％的罚款；贻误事故抢救或者造成事故扩大或者影响事故调查或者造成重大社会影响的，处上一年年收入80%至100％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第十三条 </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有《生产安全事故报告和调查处理条例》第三十六条第一项至第五项规定的行为之一的，依照下列规定处以罚款：（一）发生一般事故的，处100万元以上150万元以下的罚款；（二）发生较大事故的，处150万元以上200万元以下的罚款；（三）发生重大事故的，处200万元以上250万元以下的罚款；（四）发生特别重大事故的，处250万元以上300万元以下的罚款。事故发生单位有《生产安全事故报告和调查处理条例》第三十六条第一项至第五项规定的行为之一的，贻误事故抢救或者造成事故扩大或者影响事故调查或者造成重大社会影响的，依照下列规定处以罚款：（一）发生一般事故的，处300万元以上350万元以下的罚款；（二）发生较大事故的，处350万元以上400万元以下的罚款；（三）发生重大事故的，处400万元以上450万元以下的罚款；（四）发生特别重大事故的，处450万元以上500万元以下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第十四条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对一般事故负有责任的，依照下列规定处以罚款：（一）造成3人以下重伤（包括急性工业中毒，下同），或者300万元以下直接经济损失的，处30万元以上50万元以下的罚款；（二）造成1人死亡，或者3人以上6人以下重伤，或者300万元以上500万元以下直接经济损失的，处50万元以上70万元以下的罚款；（三）造成2人死亡，或者6人以上10人以下重伤，或者500万元以上1000万元以下直接经济损失的，处70万元以上100万元以下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第十五条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对较大事故发生负有责任的，依照下列规定处以罚款：（一）造成3人以上5人以下死亡，或者10人以上20人以下重伤，或者1000万元以上2000万元以下直接经济损失的，处100万元以上120万元以下的罚款；（二）造成5人以上7人以下死亡，或者20人以上30人以下重伤，或者2000万元以上3000万元以下直接经济损失的，处120万元以上150万元以下的罚款；（三）造成7人以上10人以下死亡，或者30人以上50人以下重伤，或者3000万元以上5000万元以下直接经济损失的，处150万元以上200万元以下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第十六条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对重大事故发生负有责任的，依照下列规定处以罚款：（一）造成10人以上13人以下死亡，或者50人以上60人以下重伤，或者5000万元以上6000万元以下直接经济损失的，处200万元以上400万元以下的罚款；（二）造成13人以上15人以下死亡，或者60人以上70人以下重伤，或者6000万元以上7000万元以下直接经济损失的，处400万元以上600万元以下的罚款；（三）造成15人以上30人以下死亡，或者70人以上100人以下重伤，或者7000万元以上1亿元以下直接经济损失的，处600万元以上1000万元以下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第十七条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对特别重大事故发生负有责任的，依照下列规定处以罚款：（一）造成30人以上40人以下死亡，或者100人以上120人以下重伤，或者1亿元以上1.5亿元以下直接经济损失的，处1000万元以上1200万元以下的罚款；（二）造成40人以上50人以下死亡，或者120人以上150人以下重伤，或者1.5亿元以上2亿元以下直接经济损失的，处1200万元以上1500万元以下的罚款；（三）造成50人以上死亡，或者150人以上重伤，或者2亿元以上直接经济损失的，处1500万元以上2000万元以下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第十八条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发生生产安全事故，有下列情形之一的，属于《中华人民共和国安全生产法》第一百一十四条第二款规定的情节特别严重、影响特别恶劣的情形，可以按照法律规定罚款数额的2倍以上5倍以下对事故发生单位处以罚款：（一）关闭、破坏直接关系生产安全的监控、报警、防护、救生设备、设施，或者篡改、隐瞒、销毁其相关数据、信息的；（二）因存在重大事故隐患被依法责令停产停业、停止施工、停止使用有关设备、设施、场所或者立即采取排除危险的整改措施，而拒不执行的；（三）涉及安全生产的事项未经依法批准或者许可，擅自从事矿山开采、金属冶炼、建筑施工，以及危险物品生产、经营、储存等高度危险的生产作业活动，或者未依法取得有关证照尚在从事生产经营活动的；（四）拒绝、阻碍行政执法的；（五）强令他人违章冒险作业，或者明知存在重大事故隐患而不排除，仍冒险组织作业的；（六）其他情节特别严重、影响特别恶劣的情形。</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第十九条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主要负责人未依法履行安全生产管理职责，导致事故发生的，依照下列规定处以罚款：（一）发生一般事故的，处上一年年收入40％的罚款；（二）发生较大事故的，处上一年年收入60％的罚款；（三）发生重大事故的，处上一年年收入80％的罚款；（四）发生特别重大事故的，处上一年年收入100％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第二十条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事故发生单位其他负责人和安全生产管理人员未依法履行安全生产管理职责，导致事故发生的，依照下列规定处以罚款：（一）发生一般事故的，处上一年年收入20％至30%的罚款；（二）发生较大事故的，处上一年年收入30％至40%的罚款；（三）发生重大事故的，处上一年年收入40％至50%的罚款；（四）发生特别重大事故的，处上一年年收入50％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第二十一条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个人经营的投资人未依照《中华人民共和国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第二十二条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违反《中华人民共和国安全生产法》《生产安全事故报告和调查处理条例》和本规定，存在对事故发生负有责任以及谎报、瞒报事故等两种以上应当处以罚款的行为的，应急管理部门或者矿山安全监察机构应当分别裁量，合并作出处罚决定。</w:t>
      </w:r>
    </w:p>
    <w:p>
      <w:pPr>
        <w:keepNext w:val="0"/>
        <w:keepLines w:val="0"/>
        <w:widowControl/>
        <w:suppressLineNumbers w:val="0"/>
        <w:spacing w:before="0" w:beforeAutospacing="0" w:after="0" w:afterAutospacing="0"/>
        <w:ind w:left="0" w:right="0" w:firstLine="400" w:firstLineChars="200"/>
        <w:jc w:val="left"/>
        <w:rPr>
          <w:rFonts w:hint="eastAsia" w:ascii="微软雅黑" w:hAnsi="微软雅黑" w:eastAsia="微软雅黑" w:cs="微软雅黑"/>
          <w:i w:val="0"/>
          <w:iCs w:val="0"/>
          <w:caps w:val="0"/>
          <w:color w:val="333333"/>
          <w:spacing w:val="20"/>
          <w:kern w:val="0"/>
          <w:sz w:val="16"/>
          <w:szCs w:val="16"/>
          <w:shd w:val="clear" w:fill="FFFFFF"/>
          <w:lang w:val="en-US" w:eastAsia="zh-CN" w:bidi="ar"/>
        </w:rPr>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第二十三条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在事故调查中发现需要对存在违法行为的其他单位及其有关人员处以罚款的，依照相关法律、法规和规章的规定实施。</w:t>
      </w:r>
    </w:p>
    <w:p>
      <w:pPr>
        <w:keepNext w:val="0"/>
        <w:keepLines w:val="0"/>
        <w:widowControl/>
        <w:suppressLineNumbers w:val="0"/>
        <w:spacing w:before="0" w:beforeAutospacing="0" w:after="0" w:afterAutospacing="0"/>
        <w:ind w:left="0" w:right="0" w:firstLine="400" w:firstLineChars="200"/>
        <w:jc w:val="left"/>
      </w:pPr>
      <w:r>
        <w:rPr>
          <w:rStyle w:val="8"/>
          <w:rFonts w:hint="eastAsia" w:ascii="微软雅黑" w:hAnsi="微软雅黑" w:eastAsia="微软雅黑" w:cs="微软雅黑"/>
          <w:i w:val="0"/>
          <w:iCs w:val="0"/>
          <w:caps w:val="0"/>
          <w:color w:val="021EAA"/>
          <w:spacing w:val="20"/>
          <w:kern w:val="0"/>
          <w:sz w:val="16"/>
          <w:szCs w:val="16"/>
          <w:shd w:val="clear" w:fill="FFFFFF"/>
          <w:lang w:val="en-US" w:eastAsia="zh-CN" w:bidi="ar"/>
        </w:rPr>
        <w:t>第二十四条</w:t>
      </w:r>
      <w:r>
        <w:rPr>
          <w:rFonts w:hint="eastAsia" w:ascii="微软雅黑" w:hAnsi="微软雅黑" w:eastAsia="微软雅黑" w:cs="微软雅黑"/>
          <w:i w:val="0"/>
          <w:iCs w:val="0"/>
          <w:caps w:val="0"/>
          <w:color w:val="333333"/>
          <w:spacing w:val="20"/>
          <w:kern w:val="0"/>
          <w:sz w:val="16"/>
          <w:szCs w:val="16"/>
          <w:shd w:val="clear" w:fill="FFFFFF"/>
          <w:lang w:val="en-US" w:eastAsia="zh-CN" w:bidi="ar"/>
        </w:rPr>
        <w:t>  本规定自2024年3月1日起施行。原国家安全生产监督管理总局2007年7月12日公布，2011年9月1日第一次修正、2015年4月2日第二次修正的《生产安全事故罚款处罚规定（试行）》同时废止。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MzkxNGYxMjYwY2MyNGU5ZDQ2YWU1MmIwNGYxMWQifQ=="/>
  </w:docVars>
  <w:rsids>
    <w:rsidRoot w:val="28506A68"/>
    <w:rsid w:val="23E45DF0"/>
    <w:rsid w:val="28506A68"/>
    <w:rsid w:val="5D4E4D9F"/>
    <w:rsid w:val="7A62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Emphasis"/>
    <w:basedOn w:val="7"/>
    <w:autoRedefine/>
    <w:qFormat/>
    <w:uiPriority w:val="0"/>
    <w:rPr>
      <w:i/>
    </w:rPr>
  </w:style>
  <w:style w:type="character" w:styleId="10">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2024-01-16T04:34:00Z</dcterms:created>
  <dc:creator>户大姐土豆粉吉安店</dc:creator>
  <cp:lastModifiedBy>杨蓉</cp:lastModifiedBy>
  <dcterms:modified xsi:type="dcterms:W3CDTF">2024-01-16T08:26:07Z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293580FCF3BC4169A95931C9EEF4A367_13</vt:lpwstr>
  </property>
</Properties>
</file>